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EB1E66B" w:rsidR="005A7127" w:rsidRPr="00FC3F8A" w:rsidRDefault="005C0B3C" w:rsidP="005C0B3C">
      <w:hyperlink r:id="rId6" w:history="1">
        <w:r w:rsidRPr="0035639C">
          <w:rPr>
            <w:rStyle w:val="Collegamentoipertestuale"/>
          </w:rPr>
          <w:t>https://ilmanifesto.it/bankitalia-calcola-gli-effetti-dei-dazi-annunciati-piu-colpite-italia-e-germania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lmanifesto.it/bankitalia-calcola-gli-effetti-dei-dazi-annunciati-piu-colpite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2025-02-24T10:35:00Z</dcterms:created>
  <dcterms:modified xsi:type="dcterms:W3CDTF">2025-02-24T10:36:00Z</dcterms:modified>
</cp:coreProperties>
</file>